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A83745">
      <w:pPr>
        <w:spacing w:after="0" w:line="240" w:lineRule="auto"/>
        <w:jc w:val="center"/>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2B9EA02B" w:rsidR="007E18C9" w:rsidRPr="00CA50D8" w:rsidRDefault="00A83745" w:rsidP="00673B69">
      <w:pPr>
        <w:spacing w:after="0" w:line="240" w:lineRule="auto"/>
        <w:jc w:val="center"/>
        <w:rPr>
          <w:rFonts w:ascii="Century Gothic" w:hAnsi="Century Gothic" w:cs="Arial"/>
          <w:b/>
          <w:sz w:val="24"/>
          <w:szCs w:val="24"/>
        </w:rPr>
      </w:pPr>
      <w:r>
        <w:rPr>
          <w:rFonts w:ascii="Century Gothic" w:hAnsi="Century Gothic" w:cs="Arial"/>
          <w:b/>
          <w:sz w:val="24"/>
          <w:szCs w:val="24"/>
        </w:rPr>
        <w:t>GENNAIO</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Pr>
          <w:rFonts w:ascii="Century Gothic" w:hAnsi="Century Gothic" w:cs="Arial"/>
          <w:b/>
          <w:sz w:val="24"/>
          <w:szCs w:val="24"/>
        </w:rPr>
        <w:t>6</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Interventi per promuovere e favorire l’invecchiamento attivo</w:t>
      </w:r>
    </w:p>
    <w:p w14:paraId="164A999A" w14:textId="61B5B9C3" w:rsidR="00306731" w:rsidRPr="005966A0"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 xml:space="preserve">(Area anziani e fragilità emergenti, Area della presa in carico delle persone con demenza, Area delle cure domiciliari, Area della disabilità e Non </w:t>
      </w:r>
      <w:r w:rsidRPr="005966A0">
        <w:rPr>
          <w:rFonts w:ascii="Century Gothic" w:hAnsi="Century Gothic" w:cs="Arial"/>
          <w:sz w:val="20"/>
          <w:szCs w:val="20"/>
        </w:rPr>
        <w:t>Autosufficienza, Area della salute mentale)</w:t>
      </w:r>
    </w:p>
    <w:p w14:paraId="4BF9539C" w14:textId="77777777" w:rsidR="00B75039" w:rsidRPr="005966A0" w:rsidRDefault="00B75039" w:rsidP="00B75039">
      <w:pPr>
        <w:pStyle w:val="Paragrafoelenco"/>
        <w:numPr>
          <w:ilvl w:val="0"/>
          <w:numId w:val="3"/>
        </w:numPr>
        <w:rPr>
          <w:rFonts w:ascii="Century Gothic" w:hAnsi="Century Gothic" w:cs="Arial"/>
          <w:sz w:val="20"/>
          <w:szCs w:val="20"/>
        </w:rPr>
      </w:pPr>
      <w:r w:rsidRPr="005966A0">
        <w:rPr>
          <w:rFonts w:ascii="Century Gothic" w:hAnsi="Century Gothic" w:cs="Arial"/>
          <w:sz w:val="20"/>
          <w:szCs w:val="20"/>
        </w:rPr>
        <w:t>Attuazione dell’obiettivo di investimento previsto dal PNRR alla Missione 6 Componente 1 - Sub-investimento M6C1 1.2.1: "Casa come primo luogo di cura (ADI)”</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44573996" w14:textId="047136C8" w:rsidR="00F75635" w:rsidRPr="00085282" w:rsidRDefault="00D4590E" w:rsidP="00085282">
      <w:pPr>
        <w:pStyle w:val="Default"/>
        <w:ind w:left="780" w:hanging="780"/>
        <w:jc w:val="both"/>
        <w:rPr>
          <w:rStyle w:val="Enfasigrassetto"/>
          <w:rFonts w:ascii="Century Gothic" w:hAnsi="Century Gothic"/>
          <w:bCs w:val="0"/>
          <w:sz w:val="20"/>
          <w:szCs w:val="20"/>
          <w:u w:val="single"/>
        </w:rPr>
      </w:pPr>
      <w:r w:rsidRPr="00CA50D8">
        <w:rPr>
          <w:rFonts w:ascii="Century Gothic" w:hAnsi="Century Gothic"/>
          <w:b/>
          <w:sz w:val="20"/>
          <w:szCs w:val="20"/>
          <w:u w:val="single"/>
        </w:rPr>
        <w:t>AREA SALUTE MENTALE E DIPENDENZE</w:t>
      </w: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Progetti Autinca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4D7214FA" w14:textId="24F6674D" w:rsidR="00B10C4C" w:rsidRPr="005966A0" w:rsidRDefault="00B10C4C"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5524 del 17/12/2025 “Determinazioni in ordine alla gestione del servizio sanitario e socio sanitario per l’esercizio 2026 – quadro economico programmatorio”.</w:t>
      </w:r>
    </w:p>
    <w:p w14:paraId="4E7E7838" w14:textId="0AA3EAC4"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DGR n. 5589 del 30/12/2025 “Determinazioni in ordine agli indirizzi di programmazione del SSR per l’anno 2026 ed in ordine agli obiettivi delle </w:t>
      </w:r>
      <w:r w:rsidR="00430866" w:rsidRPr="005966A0">
        <w:rPr>
          <w:rFonts w:ascii="Century Gothic" w:hAnsi="Century Gothic" w:cs="Arial"/>
          <w:sz w:val="20"/>
          <w:szCs w:val="20"/>
        </w:rPr>
        <w:t>A</w:t>
      </w:r>
      <w:r w:rsidRPr="005966A0">
        <w:rPr>
          <w:rFonts w:ascii="Century Gothic" w:hAnsi="Century Gothic" w:cs="Arial"/>
          <w:sz w:val="20"/>
          <w:szCs w:val="20"/>
        </w:rPr>
        <w:t xml:space="preserve">genzie di </w:t>
      </w:r>
      <w:r w:rsidR="00430866" w:rsidRPr="005966A0">
        <w:rPr>
          <w:rFonts w:ascii="Century Gothic" w:hAnsi="Century Gothic" w:cs="Arial"/>
          <w:sz w:val="20"/>
          <w:szCs w:val="20"/>
        </w:rPr>
        <w:t>T</w:t>
      </w:r>
      <w:r w:rsidRPr="005966A0">
        <w:rPr>
          <w:rFonts w:ascii="Century Gothic" w:hAnsi="Century Gothic" w:cs="Arial"/>
          <w:sz w:val="20"/>
          <w:szCs w:val="20"/>
        </w:rPr>
        <w:t xml:space="preserve">utela della </w:t>
      </w:r>
      <w:r w:rsidR="00430866" w:rsidRPr="005966A0">
        <w:rPr>
          <w:rFonts w:ascii="Century Gothic" w:hAnsi="Century Gothic" w:cs="Arial"/>
          <w:sz w:val="20"/>
          <w:szCs w:val="20"/>
        </w:rPr>
        <w:t>S</w:t>
      </w:r>
      <w:r w:rsidRPr="005966A0">
        <w:rPr>
          <w:rFonts w:ascii="Century Gothic" w:hAnsi="Century Gothic" w:cs="Arial"/>
          <w:sz w:val="20"/>
          <w:szCs w:val="20"/>
        </w:rPr>
        <w:t>alute (A.T.S.), delle Aziende Socio</w:t>
      </w:r>
    </w:p>
    <w:p w14:paraId="6B9A5FCA" w14:textId="6311239C"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sanitarie Territoriali (A.S.S.T.) e dell’Agenzia Regionale Emergenza Urgenza (A.R.E.U.) anno 2026 – (di concerto con il </w:t>
      </w:r>
      <w:r w:rsidR="00196121" w:rsidRPr="005966A0">
        <w:rPr>
          <w:rFonts w:ascii="Century Gothic" w:hAnsi="Century Gothic" w:cs="Arial"/>
          <w:sz w:val="20"/>
          <w:szCs w:val="20"/>
        </w:rPr>
        <w:t>V</w:t>
      </w:r>
      <w:r w:rsidRPr="005966A0">
        <w:rPr>
          <w:rFonts w:ascii="Century Gothic" w:hAnsi="Century Gothic" w:cs="Arial"/>
          <w:sz w:val="20"/>
          <w:szCs w:val="20"/>
        </w:rPr>
        <w:t>icepresidente Alparone e l’</w:t>
      </w:r>
      <w:r w:rsidR="00196121" w:rsidRPr="005966A0">
        <w:rPr>
          <w:rFonts w:ascii="Century Gothic" w:hAnsi="Century Gothic" w:cs="Arial"/>
          <w:sz w:val="20"/>
          <w:szCs w:val="20"/>
        </w:rPr>
        <w:t>A</w:t>
      </w:r>
      <w:r w:rsidRPr="005966A0">
        <w:rPr>
          <w:rFonts w:ascii="Century Gothic" w:hAnsi="Century Gothic" w:cs="Arial"/>
          <w:sz w:val="20"/>
          <w:szCs w:val="20"/>
        </w:rPr>
        <w:t>ssessore Lucchini)”.</w:t>
      </w:r>
    </w:p>
    <w:p w14:paraId="0B132BE9" w14:textId="77777777" w:rsidR="00A2271F" w:rsidRPr="00CA50D8" w:rsidRDefault="00A2271F" w:rsidP="00CE5638">
      <w:pPr>
        <w:pStyle w:val="NormaleWeb"/>
        <w:spacing w:before="0" w:beforeAutospacing="0" w:after="0" w:afterAutospacing="0"/>
        <w:rPr>
          <w:rStyle w:val="Enfasigrassetto"/>
          <w:rFonts w:ascii="Century Gothic" w:hAnsi="Century Gothic" w:cs="Arial"/>
          <w:sz w:val="20"/>
          <w:szCs w:val="20"/>
          <w:u w:val="single"/>
        </w:rPr>
      </w:pPr>
    </w:p>
    <w:p w14:paraId="6F09705A" w14:textId="62EBB89B" w:rsidR="003612B2" w:rsidRPr="00CE5638" w:rsidRDefault="00746D81" w:rsidP="00CE5638">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031319B3"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w:t>
      </w:r>
      <w:r w:rsidR="000E7435" w:rsidRPr="00CA50D8">
        <w:rPr>
          <w:rFonts w:ascii="Century Gothic" w:hAnsi="Century Gothic" w:cs="Arial"/>
          <w:sz w:val="20"/>
          <w:szCs w:val="20"/>
        </w:rPr>
        <w:lastRenderedPageBreak/>
        <w:t>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2F6725F3" w14:textId="74E33E71" w:rsidR="00161D75" w:rsidRPr="00CA50D8" w:rsidRDefault="00161D75"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CA50D8">
        <w:rPr>
          <w:rFonts w:ascii="Century Gothic" w:hAnsi="Century Gothic" w:cs="Arial"/>
          <w:sz w:val="20"/>
          <w:szCs w:val="20"/>
        </w:rPr>
        <w:t>“La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Autinca”;</w:t>
      </w: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n.278 del 15/05/2023 “ Decreto del Ministero della Salute 24 gennaio 2023: “Criteri e modalità di utilizzazione dei fondi per la cura dei soggetti con disturbo dello spettro autistico per l’anno 2022” – Approvazione del progetto regionale “La cura dei soggetti con disturbo </w:t>
      </w:r>
      <w:r w:rsidRPr="00CA50D8">
        <w:rPr>
          <w:rFonts w:ascii="Century Gothic" w:hAnsi="Century Gothic" w:cs="Arial"/>
          <w:sz w:val="20"/>
          <w:szCs w:val="20"/>
        </w:rPr>
        <w:lastRenderedPageBreak/>
        <w:t>dello spettro autistico: definizione di una rete territoriale che possa attuare un intervento precoce con una presa in carico volta a garantire la continuità di cura, l’integrazione e 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Autinca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26D4810C"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CA50D8"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13043 del 04/09/2024 “Programma operativo regionale di cui al Fondo Nazionale per le Non </w:t>
            </w:r>
            <w:r w:rsidRPr="00CA50D8">
              <w:rPr>
                <w:rFonts w:ascii="Century Gothic" w:hAnsi="Century Gothic" w:cs="Arial"/>
                <w:sz w:val="20"/>
                <w:szCs w:val="20"/>
              </w:rPr>
              <w:lastRenderedPageBreak/>
              <w:t>Autosufficienze Anno 2023 Esercizio 2024 – Misura B1. D.G.R. XII/2911/2024. Accertamento, impegno e liquidazione di ulteriori risorse regionali alle Agenzie di Tutela della Salute (ATS)”</w:t>
            </w:r>
            <w:r w:rsidR="00A7385F" w:rsidRPr="00CA50D8">
              <w:rPr>
                <w:rFonts w:ascii="Century Gothic" w:hAnsi="Century Gothic" w:cs="Arial"/>
                <w:sz w:val="20"/>
                <w:szCs w:val="20"/>
              </w:rPr>
              <w:t>;</w:t>
            </w:r>
          </w:p>
          <w:p w14:paraId="6122520B" w14:textId="77777777" w:rsidR="00A7385F" w:rsidRPr="00CA50D8"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D015CB"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5D87D662" w14:textId="77777777" w:rsidR="00312F62"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p w14:paraId="78B5C61A" w14:textId="77777777" w:rsidR="00CC1CF0" w:rsidRPr="00CC1CF0"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C1CF0">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4ECE5C6" w14:textId="10607C47" w:rsidR="00CC1CF0" w:rsidRPr="00E032C0" w:rsidRDefault="00CC1CF0" w:rsidP="00E032C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C1CF0">
              <w:rPr>
                <w:rFonts w:ascii="Century Gothic" w:hAnsi="Century Gothic" w:cs="Arial"/>
                <w:sz w:val="20"/>
                <w:szCs w:val="20"/>
              </w:rPr>
              <w:t>Decreto Direzione Generale Famiglia, Solidarietà Sociale, Disabilità e Pari Opportunità n. 259 del 14/01/2026 “Assegnazione, impegno e liquidazione delle risorse regionali alle Agenzie di Tutela della Salute (ATS) per la continuità della Misura a favore delle persone anziane non autosufficienti ad alto bisogno assistenziale e persone con disabilità e necessità di sostegno intensivo molto elevato (già Misura B1) - DGR n. 5544/2025”</w:t>
            </w: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2E64C843" w:rsidR="00236F1A"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358957FE" w14:textId="77777777" w:rsidR="003752C5"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p w14:paraId="5E54A3F9" w14:textId="77777777" w:rsidR="00B75039" w:rsidRPr="005966A0"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5365 del 24/11/2025 “Programma operativo regionale Fondo “caregiver familiare” - Annualità 2024”</w:t>
            </w:r>
          </w:p>
          <w:p w14:paraId="560B55B2" w14:textId="7023730D" w:rsidR="00B75039" w:rsidRPr="00B75039"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17331 del 28/11/2025 “Assegnazione statale delle risorse Fondo Unico per l’inclusione delle persone con disabilità per finanziare interventi finalizzati al riconoscimento del valore sociale ed economico dell’attività di cura non professionale del caregiver familiare. Accertamento, impegno e liquidazione sull’esercizio finanziario 2025 (D.G.R. n. XII/5365/2025)”</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3B21259D" w14:textId="5BC0CFCA" w:rsidR="00EB7BC2" w:rsidRPr="00CA50D8" w:rsidRDefault="00B1059C"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CA50D8"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CA50D8">
              <w:rPr>
                <w:rFonts w:ascii="Century Gothic" w:hAnsi="Century Gothic" w:cs="Arial"/>
                <w:sz w:val="20"/>
                <w:szCs w:val="20"/>
              </w:rPr>
              <w:t>DGR n. XII</w:t>
            </w:r>
            <w:r w:rsidRPr="00CA50D8">
              <w:rPr>
                <w:rFonts w:ascii="Century Gothic" w:hAnsi="Century Gothic" w:cs="Arial"/>
                <w:sz w:val="20"/>
                <w:szCs w:val="20"/>
              </w:rPr>
              <w:t>/2033/2024</w:t>
            </w:r>
            <w:r w:rsidR="007A3D12" w:rsidRPr="00CA50D8">
              <w:rPr>
                <w:rFonts w:ascii="Century Gothic" w:hAnsi="Century Gothic" w:cs="Arial"/>
                <w:sz w:val="20"/>
                <w:szCs w:val="20"/>
              </w:rPr>
              <w:t>”</w:t>
            </w:r>
          </w:p>
          <w:p w14:paraId="330658C5" w14:textId="5C3E9502" w:rsidR="008E3AB5" w:rsidRPr="00CA50D8"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2966 del 05/08/2024 “Ulteriori determinazioni in ordine agli indirizzi di programmazione del SSR per l’anno 2024 - Terzo provvedimento (di conc</w:t>
            </w:r>
            <w:r w:rsidR="00DD342C" w:rsidRPr="00CA50D8">
              <w:rPr>
                <w:rFonts w:ascii="Century Gothic" w:hAnsi="Century Gothic" w:cs="Arial"/>
                <w:sz w:val="20"/>
                <w:szCs w:val="20"/>
              </w:rPr>
              <w:t>erto con l'assessore Lucchini)”</w:t>
            </w:r>
          </w:p>
          <w:p w14:paraId="2290B8EF" w14:textId="3FF793DC" w:rsidR="008E3AB5" w:rsidRPr="00CA50D8"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CA50D8">
              <w:rPr>
                <w:rFonts w:ascii="Century Gothic" w:hAnsi="Century Gothic" w:cs="Arial"/>
                <w:sz w:val="20"/>
                <w:szCs w:val="20"/>
              </w:rPr>
              <w:t>ale da destinare ai Voucher ASD</w:t>
            </w:r>
          </w:p>
          <w:p w14:paraId="3DF30F6E" w14:textId="77777777" w:rsidR="00DD342C" w:rsidRPr="00CA50D8"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CA50D8"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 xml:space="preserve">D.G.R. n. 3719 del 30/12/2024 “Programma operativo regionale a favore di persone anziane non autosufficienti ad alto e basso bisogno assistenziale e persone con disabilità e necessità </w:t>
            </w:r>
            <w:r w:rsidRPr="00CA50D8">
              <w:rPr>
                <w:rFonts w:ascii="Century Gothic" w:hAnsi="Century Gothic" w:cs="Arial"/>
                <w:sz w:val="20"/>
                <w:szCs w:val="20"/>
              </w:rPr>
              <w:lastRenderedPageBreak/>
              <w:t>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ABE7CA2" w14:textId="77777777" w:rsidR="003F1FDE"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F1FDE">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p w14:paraId="18C00FC5" w14:textId="77777777" w:rsidR="00CC1CF0" w:rsidRPr="00CC1CF0"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C1CF0">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B29C5E5" w14:textId="77777777" w:rsidR="00CC1CF0" w:rsidRPr="00CC1CF0"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C1CF0">
                    <w:rPr>
                      <w:rFonts w:ascii="Century Gothic" w:hAnsi="Century Gothic" w:cs="Arial"/>
                      <w:sz w:val="20"/>
                      <w:szCs w:val="20"/>
                    </w:rPr>
                    <w:t>Decreto Direzione Generale Famiglia, Solidarietà Sociale, Disabilità e Pari Opportunità n. 724 del 23/01/2026 “Assegnazione ed erogazione alle Agenzie di Tutela della Salute (ATS) delle risorse pari a euro 14.600.000,00 da Fondo Sanitario Regionale per erogazione dei Voucher Sociosanitari e ASD – esercizio 2026 (DGR n. 5544/2025)”</w:t>
                  </w:r>
                </w:p>
                <w:p w14:paraId="1774E579" w14:textId="11BC5492" w:rsidR="00CC1CF0" w:rsidRPr="00CA50D8" w:rsidRDefault="00CC1CF0" w:rsidP="00E032C0">
                  <w:pPr>
                    <w:pStyle w:val="Paragrafoelenco"/>
                    <w:autoSpaceDE w:val="0"/>
                    <w:autoSpaceDN w:val="0"/>
                    <w:adjustRightInd w:val="0"/>
                    <w:spacing w:after="0" w:line="240" w:lineRule="auto"/>
                    <w:ind w:left="604"/>
                    <w:jc w:val="both"/>
                    <w:rPr>
                      <w:rFonts w:ascii="Century Gothic" w:hAnsi="Century Gothic" w:cs="Arial"/>
                      <w:sz w:val="20"/>
                      <w:szCs w:val="20"/>
                    </w:rPr>
                  </w:pP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1C6DFA85" w14:textId="1DD7FAE0"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lastRenderedPageBreak/>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67622C"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780841D" w14:textId="16B31457" w:rsidR="0067622C" w:rsidRPr="005966A0" w:rsidRDefault="0067622C" w:rsidP="0067622C">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5966A0">
        <w:rPr>
          <w:rFonts w:ascii="Century Gothic" w:hAnsi="Century Gothic" w:cs="Arial"/>
          <w:sz w:val="20"/>
          <w:szCs w:val="20"/>
        </w:rPr>
        <w:t>DELIBERA DEL CONSIGLIO DEI MINISTRI del 4 dicembre 2025</w:t>
      </w:r>
      <w:r w:rsidRPr="005966A0">
        <w:rPr>
          <w:rFonts w:ascii="Century Gothic" w:hAnsi="Century Gothic" w:cs="Arial"/>
          <w:b/>
          <w:bCs/>
          <w:sz w:val="20"/>
          <w:szCs w:val="20"/>
        </w:rPr>
        <w:t xml:space="preserve"> “</w:t>
      </w:r>
      <w:r w:rsidRPr="005966A0">
        <w:rPr>
          <w:rFonts w:ascii="Century Gothic" w:hAnsi="Century Gothic" w:cs="Arial"/>
          <w:sz w:val="20"/>
          <w:szCs w:val="20"/>
        </w:rPr>
        <w:t xml:space="preserve">Autorizzazione all'adozione del decreto del Ministro del lavoro e delle politiche sociali e del Ministro per le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di concerto con il Ministro dell'economia e delle finanze e il Ministro della salute, relativo al riparto - per </w:t>
      </w:r>
      <w:r w:rsidR="005966A0" w:rsidRPr="005966A0">
        <w:rPr>
          <w:rFonts w:ascii="Century Gothic" w:hAnsi="Century Gothic" w:cs="Arial"/>
          <w:sz w:val="20"/>
          <w:szCs w:val="20"/>
        </w:rPr>
        <w:t>l’annualità</w:t>
      </w:r>
      <w:r w:rsidRPr="005966A0">
        <w:rPr>
          <w:rFonts w:ascii="Century Gothic" w:hAnsi="Century Gothic" w:cs="Arial"/>
          <w:sz w:val="20"/>
          <w:szCs w:val="20"/>
        </w:rPr>
        <w:t xml:space="preserve"> 2024 - delle risorse del Fondo per l'assistenza alle persone con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grave prive del sostegno familiare, ai sensi dei commi 1 e 2 dell'articolo 3 della legge 22 giugno 2016, n. 112 (c.d. Dopo di Noi)”</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665F5403" w14:textId="085A1FAE" w:rsidR="00673B69" w:rsidRPr="00CE5638" w:rsidRDefault="002D465A" w:rsidP="00CE5638">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7E56A6F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s.m.i.”</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18308 del 20/11/2023 “Attuazione della DGR n. 1287/2023 – Assegnazione, impegno e contestuale liquidazione delle risorse quota anno 2023 – Modifica del Decreto n. 19033/2018 e s.m.i.”.</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2309 del 13/05/2024 “Linee guida per lo svolgimento degli interventi di inclusione scolastica di bambini/alunni/studenti con disabilità sensoriale ai sensi della l.r.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76A19783" w14:textId="77777777" w:rsidR="00F41644" w:rsidRPr="002A3C35" w:rsidRDefault="00F41644"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A3C35">
        <w:rPr>
          <w:rFonts w:ascii="Century Gothic" w:hAnsi="Century Gothic" w:cs="Arial"/>
          <w:sz w:val="20"/>
          <w:szCs w:val="20"/>
        </w:rPr>
        <w:t>D.G.R. n. 5041 del 29/09/2025 “Aggiornamento “Linee guida per lo svolgimento degli interventi di inclusione educativa e scolastica di bambini/alunni/studenti con disabilità sensoriale ai sensi della l.r. n. 19/2007” approvate con DGR n. XII/4174 del 07.04.2025”</w:t>
      </w:r>
    </w:p>
    <w:p w14:paraId="445F9C2D" w14:textId="77777777" w:rsidR="00E62DE7" w:rsidRPr="00CE5638" w:rsidRDefault="00E62DE7" w:rsidP="00CE5638">
      <w:pPr>
        <w:pStyle w:val="Paragrafoelenco"/>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lastRenderedPageBreak/>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Pr="00C30872"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w:t>
      </w:r>
      <w:r w:rsidRPr="00CA50D8">
        <w:rPr>
          <w:rFonts w:ascii="Century Gothic" w:hAnsi="Century Gothic" w:cs="Arial"/>
          <w:color w:val="000000"/>
          <w:sz w:val="20"/>
          <w:szCs w:val="20"/>
        </w:rPr>
        <w:lastRenderedPageBreak/>
        <w:t>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3239/12 per l’anno 2025;</w:t>
      </w:r>
    </w:p>
    <w:p w14:paraId="2A94FED3" w14:textId="77777777" w:rsidR="001961D0" w:rsidRPr="001961D0" w:rsidRDefault="001961D0" w:rsidP="001961D0">
      <w:pPr>
        <w:pStyle w:val="Paragrafoelenco"/>
        <w:ind w:left="851"/>
        <w:jc w:val="both"/>
        <w:rPr>
          <w:rFonts w:ascii="Century Gothic" w:eastAsia="Calibri" w:hAnsi="Century Gothic" w:cs="Arial"/>
          <w:sz w:val="20"/>
          <w:szCs w:val="20"/>
        </w:rPr>
      </w:pP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w:t>
      </w:r>
      <w:proofErr w:type="spellStart"/>
      <w:r w:rsidR="006649F4" w:rsidRPr="00CA50D8">
        <w:rPr>
          <w:rFonts w:ascii="Century Gothic" w:hAnsi="Century Gothic" w:cs="Arial"/>
          <w:color w:val="000000"/>
          <w:sz w:val="20"/>
          <w:szCs w:val="20"/>
        </w:rPr>
        <w:t>solutions</w:t>
      </w:r>
      <w:proofErr w:type="spellEnd"/>
      <w:r w:rsidR="006649F4" w:rsidRPr="00CA50D8">
        <w:rPr>
          <w:rFonts w:ascii="Century Gothic" w:hAnsi="Century Gothic" w:cs="Arial"/>
          <w:color w:val="000000"/>
          <w:sz w:val="20"/>
          <w:szCs w:val="20"/>
        </w:rPr>
        <w:t xml:space="preserve"> for home are care by </w:t>
      </w:r>
      <w:proofErr w:type="spellStart"/>
      <w:r w:rsidR="007D7406" w:rsidRPr="00CA50D8">
        <w:rPr>
          <w:rFonts w:ascii="Century Gothic" w:hAnsi="Century Gothic" w:cs="Arial"/>
          <w:color w:val="000000"/>
          <w:sz w:val="20"/>
          <w:szCs w:val="20"/>
        </w:rPr>
        <w:t>streghthening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quaqdruple</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helix</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cooperation</w:t>
      </w:r>
      <w:proofErr w:type="spellEnd"/>
      <w:r w:rsidR="007D7406" w:rsidRPr="00CA50D8">
        <w:rPr>
          <w:rFonts w:ascii="Century Gothic" w:hAnsi="Century Gothic" w:cs="Arial"/>
          <w:color w:val="000000"/>
          <w:sz w:val="20"/>
          <w:szCs w:val="20"/>
        </w:rPr>
        <w:t xml:space="preserve"> and </w:t>
      </w:r>
      <w:proofErr w:type="spellStart"/>
      <w:r w:rsidR="007D7406" w:rsidRPr="00CA50D8">
        <w:rPr>
          <w:rFonts w:ascii="Century Gothic" w:hAnsi="Century Gothic" w:cs="Arial"/>
          <w:color w:val="000000"/>
          <w:sz w:val="20"/>
          <w:szCs w:val="20"/>
        </w:rPr>
        <w:t>applying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principles</w:t>
      </w:r>
      <w:proofErr w:type="spellEnd"/>
      <w:r w:rsidR="007D7406" w:rsidRPr="00CA50D8">
        <w:rPr>
          <w:rFonts w:ascii="Century Gothic" w:hAnsi="Century Gothic" w:cs="Arial"/>
          <w:color w:val="000000"/>
          <w:sz w:val="20"/>
          <w:szCs w:val="20"/>
        </w:rPr>
        <w:t xml:space="preserve"> of co-</w:t>
      </w:r>
      <w:proofErr w:type="spellStart"/>
      <w:r w:rsidR="007D7406" w:rsidRPr="00CA50D8">
        <w:rPr>
          <w:rFonts w:ascii="Century Gothic" w:hAnsi="Century Gothic" w:cs="Arial"/>
          <w:color w:val="000000"/>
          <w:sz w:val="20"/>
          <w:szCs w:val="20"/>
        </w:rPr>
        <w:t>creation</w:t>
      </w:r>
      <w:proofErr w:type="spellEnd"/>
      <w:r w:rsidR="007D7406" w:rsidRPr="00CA50D8">
        <w:rPr>
          <w:rFonts w:ascii="Century Gothic" w:hAnsi="Century Gothic" w:cs="Arial"/>
          <w:color w:val="000000"/>
          <w:sz w:val="20"/>
          <w:szCs w:val="20"/>
        </w:rPr>
        <w:t xml:space="preserve"> in </w:t>
      </w:r>
      <w:proofErr w:type="spellStart"/>
      <w:r w:rsidR="007D7406" w:rsidRPr="00CA50D8">
        <w:rPr>
          <w:rFonts w:ascii="Century Gothic" w:hAnsi="Century Gothic" w:cs="Arial"/>
          <w:color w:val="000000"/>
          <w:sz w:val="20"/>
          <w:szCs w:val="20"/>
        </w:rPr>
        <w:t>territorial</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division</w:t>
      </w:r>
      <w:proofErr w:type="spellEnd"/>
      <w:r w:rsidR="007D7406" w:rsidRPr="00CA50D8">
        <w:rPr>
          <w:rFonts w:ascii="Century Gothic" w:hAnsi="Century Gothic" w:cs="Arial"/>
          <w:color w:val="000000"/>
          <w:sz w:val="20"/>
          <w:szCs w:val="20"/>
        </w:rPr>
        <w:t>”</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8E8C3BB"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7628D31E" w14:textId="77777777" w:rsidR="00CD46AF" w:rsidRPr="001961D0" w:rsidRDefault="00CD46AF" w:rsidP="00CD46AF">
      <w:pPr>
        <w:pStyle w:val="Paragrafoelenco"/>
        <w:spacing w:after="0" w:line="240" w:lineRule="auto"/>
        <w:jc w:val="both"/>
        <w:rPr>
          <w:rFonts w:ascii="Century Gothic" w:hAnsi="Century Gothic" w:cs="Arial"/>
          <w:color w:val="000000"/>
          <w:sz w:val="20"/>
          <w:szCs w:val="20"/>
        </w:rPr>
      </w:pP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 xml:space="preserve">Assegnazione statale Fondo Non Autosufficienze 2020 - </w:t>
      </w:r>
      <w:proofErr w:type="spellStart"/>
      <w:r w:rsidR="00937091" w:rsidRPr="00CA50D8">
        <w:rPr>
          <w:rFonts w:ascii="Century Gothic" w:hAnsi="Century Gothic" w:cs="Arial"/>
          <w:sz w:val="20"/>
          <w:szCs w:val="20"/>
        </w:rPr>
        <w:t>Pro.Vi</w:t>
      </w:r>
      <w:proofErr w:type="spellEnd"/>
      <w:r w:rsidR="00937091" w:rsidRPr="00CA50D8">
        <w:rPr>
          <w:rFonts w:ascii="Century Gothic" w:hAnsi="Century Gothic" w:cs="Arial"/>
          <w:sz w:val="20"/>
          <w:szCs w:val="20"/>
        </w:rPr>
        <w:t>: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6518 del 12/05/2022 “Presa d'atto dell'approvazione da parte delle Agenzie di Tutela della salute (ATS) dei 25 Ambiti territoriali e degli ulteriori 11 ammessi a </w:t>
      </w:r>
      <w:r w:rsidRPr="00CA50D8">
        <w:rPr>
          <w:rFonts w:ascii="Century Gothic" w:hAnsi="Century Gothic" w:cs="Arial"/>
          <w:sz w:val="20"/>
          <w:szCs w:val="20"/>
        </w:rPr>
        <w:lastRenderedPageBreak/>
        <w:t>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w:t>
      </w:r>
      <w:r w:rsidR="00C54008" w:rsidRPr="00CA50D8">
        <w:rPr>
          <w:rFonts w:ascii="Century Gothic" w:hAnsi="Century Gothic" w:cs="Arial"/>
          <w:sz w:val="20"/>
          <w:szCs w:val="20"/>
        </w:rPr>
        <w:t>eg</w:t>
      </w:r>
      <w:r w:rsidRPr="00CA50D8">
        <w:rPr>
          <w:rFonts w:ascii="Century Gothic" w:hAnsi="Century Gothic" w:cs="Arial"/>
          <w:sz w:val="20"/>
          <w:szCs w:val="20"/>
        </w:rPr>
        <w:t>.le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085282"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2A1854D2" w14:textId="34C60533" w:rsidR="00085282" w:rsidRPr="002A3C35" w:rsidRDefault="00085282" w:rsidP="001961D0">
      <w:pPr>
        <w:pStyle w:val="Paragrafoelenco"/>
        <w:numPr>
          <w:ilvl w:val="0"/>
          <w:numId w:val="30"/>
        </w:numPr>
        <w:spacing w:after="0" w:line="240" w:lineRule="auto"/>
        <w:jc w:val="both"/>
        <w:rPr>
          <w:rFonts w:ascii="Century Gothic" w:hAnsi="Century Gothic" w:cs="Arial"/>
          <w:b/>
          <w:color w:val="000000"/>
          <w:sz w:val="20"/>
          <w:szCs w:val="20"/>
        </w:rPr>
      </w:pPr>
      <w:r w:rsidRPr="002A3C35">
        <w:rPr>
          <w:rFonts w:ascii="Century Gothic" w:hAnsi="Century Gothic" w:cs="Arial"/>
          <w:sz w:val="20"/>
          <w:szCs w:val="20"/>
        </w:rPr>
        <w:t>Decreto regionale n. 15025 del 24/10/2025 “Impegno e liquidazione alle Agenzie di Tutela della Salute (ATS) delle risorse derivanti da assegnazione statale Fondo Non Autosufficienze (riparto 2024) relativa al Programma Vita Indipendente (PRO.VI 2024) di cui alla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009E6588" w14:textId="5088C5D6" w:rsidR="001961D0" w:rsidRPr="00CD46AF" w:rsidRDefault="00C93240" w:rsidP="00CD46AF">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lastRenderedPageBreak/>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6890589F" w14:textId="66FB9F65" w:rsidR="00E17774" w:rsidRPr="00CD46AF" w:rsidRDefault="008E3AB5"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4708527D" w14:textId="4CDBB5DD" w:rsidR="00854E60" w:rsidRPr="00CA50D8" w:rsidRDefault="00854E60" w:rsidP="00854E60">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Piano per la Gestione delle Emergenze in caso di elevate temperature ambientali dell’ATS della Val Padana – Anno 2024</w:t>
      </w:r>
      <w:r w:rsidR="002079C3">
        <w:rPr>
          <w:rFonts w:ascii="Century Gothic" w:hAnsi="Century Gothic"/>
          <w:b/>
          <w:bCs/>
          <w:sz w:val="20"/>
          <w:szCs w:val="20"/>
        </w:rPr>
        <w:t>, 2025</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551670B" w14:textId="77777777" w:rsidR="00854E60" w:rsidRPr="00CA50D8" w:rsidRDefault="00854E60" w:rsidP="00854E6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205D6521" w:rsidR="00C343A5" w:rsidRPr="002079C3" w:rsidRDefault="00854E60" w:rsidP="00C343A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Nota prot. J2.2024.0060073 del 24/07/2024 con la quale Regione Lombardia autorizza all’utilizzo di fondi residui del Bilancio Sociale di ATS, fino ad un massimo di € 20.000,00, a sostegno delle progettualità rientranti nel Piano di “Emergenza caldo 2024” a favore di </w:t>
      </w:r>
      <w:r w:rsidRPr="002079C3">
        <w:rPr>
          <w:rFonts w:ascii="Century Gothic" w:hAnsi="Century Gothic" w:cs="Arial"/>
          <w:sz w:val="20"/>
          <w:szCs w:val="20"/>
        </w:rPr>
        <w:t>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4145B37F" w14:textId="36ABECC5" w:rsidR="00E17774" w:rsidRDefault="002079C3" w:rsidP="001961D0">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Deliberazione ATS n. 324 del 30/06/2025 “Approvazione del piano per la gestione delle emergenze in caso di elevate temperature ambientali dell’ATS della Val Padana - anno 2025</w:t>
      </w:r>
    </w:p>
    <w:p w14:paraId="31A258A7" w14:textId="77777777" w:rsidR="00CD46AF" w:rsidRPr="00CD46AF" w:rsidRDefault="00CD46AF" w:rsidP="00CD46AF">
      <w:pPr>
        <w:pStyle w:val="Paragrafoelenco"/>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CA616D"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0AD41DD1" w14:textId="77777777" w:rsidR="00CA616D" w:rsidRPr="005966A0" w:rsidRDefault="00CA616D" w:rsidP="00CA616D">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18041 del 05/12/2025 L.R N. 25/2022 “Politiche di welfare sociale regionale per il riconoscimento del diritto alla vita indipendente e all'inclusione sociale di tutte le persone con disabilità" - provvedimento di assegnazione, impegno ed erogazione delle risorse regionali annualità 2025 alle agenzie di tutela della salute (ATS)”.</w:t>
      </w:r>
    </w:p>
    <w:p w14:paraId="2A4BE002" w14:textId="0135AD48" w:rsidR="0071722C" w:rsidRDefault="00CA616D" w:rsidP="00CD46AF">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 xml:space="preserve">Deliberazione n. XII/ 5416 del 01/12/2025 “LR N. 25/2022 “Politiche di welfare sociale regionale per il riconoscimento del diritto alla vita indipendente e all'inclusione sociale di tutte le persone con </w:t>
      </w:r>
      <w:r w:rsidR="005966A0" w:rsidRPr="005966A0">
        <w:rPr>
          <w:rFonts w:ascii="Century Gothic" w:hAnsi="Century Gothic" w:cs="Arial"/>
          <w:sz w:val="20"/>
          <w:szCs w:val="20"/>
        </w:rPr>
        <w:t>disabilità “</w:t>
      </w:r>
    </w:p>
    <w:p w14:paraId="1516A22B" w14:textId="77777777" w:rsidR="00CD46AF" w:rsidRPr="00CD46AF" w:rsidRDefault="00CD46AF" w:rsidP="00CD46AF">
      <w:pPr>
        <w:pStyle w:val="Paragrafoelenco"/>
        <w:jc w:val="both"/>
        <w:rPr>
          <w:rFonts w:ascii="Century Gothic" w:hAnsi="Century Gothic" w:cs="Arial"/>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G1.2024.0030962 del 02/08/2024 “DGR n. XII/2755 del 15/07/2024 “Evoluzione del percorso di presa in carico del Paziente Cronico o/e Fragile in attuazione della DGR n. XII/1827 del 31 </w:t>
      </w:r>
      <w:proofErr w:type="gramStart"/>
      <w:r w:rsidRPr="00936222">
        <w:rPr>
          <w:rFonts w:ascii="Century Gothic" w:hAnsi="Century Gothic"/>
          <w:sz w:val="20"/>
          <w:szCs w:val="20"/>
        </w:rPr>
        <w:t>Gennaio</w:t>
      </w:r>
      <w:proofErr w:type="gramEnd"/>
      <w:r w:rsidRPr="00936222">
        <w:rPr>
          <w:rFonts w:ascii="Century Gothic" w:hAnsi="Century Gothic"/>
          <w:sz w:val="20"/>
          <w:szCs w:val="20"/>
        </w:rPr>
        <w:t xml:space="preserve">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n. 12027 del 02/08/2024 “Assegnazione, impegno e liquidazione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w:t>
      </w:r>
      <w:proofErr w:type="gramEnd"/>
      <w:r w:rsidRPr="00936222">
        <w:rPr>
          <w:rFonts w:ascii="Century Gothic" w:hAnsi="Century Gothic"/>
          <w:sz w:val="20"/>
          <w:szCs w:val="20"/>
        </w:rPr>
        <w:t xml:space="preserve">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G1.2024.0037154 del 03/10/2024 “DGR </w:t>
      </w:r>
      <w:proofErr w:type="spellStart"/>
      <w:r w:rsidRPr="00936222">
        <w:rPr>
          <w:rFonts w:ascii="Century Gothic" w:hAnsi="Century Gothic"/>
          <w:sz w:val="20"/>
          <w:szCs w:val="20"/>
        </w:rPr>
        <w:t>n.XII</w:t>
      </w:r>
      <w:proofErr w:type="spellEnd"/>
      <w:r w:rsidRPr="00936222">
        <w:rPr>
          <w:rFonts w:ascii="Century Gothic" w:hAnsi="Century Gothic"/>
          <w:sz w:val="20"/>
          <w:szCs w:val="20"/>
        </w:rPr>
        <w:t>/2853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w:t>
      </w:r>
      <w:proofErr w:type="spellStart"/>
      <w:r w:rsidRPr="00936222">
        <w:rPr>
          <w:rFonts w:ascii="Century Gothic" w:hAnsi="Century Gothic"/>
          <w:sz w:val="20"/>
          <w:szCs w:val="20"/>
        </w:rPr>
        <w:t>csr</w:t>
      </w:r>
      <w:proofErr w:type="spellEnd"/>
      <w:r w:rsidRPr="00936222">
        <w:rPr>
          <w:rFonts w:ascii="Century Gothic" w:hAnsi="Century Gothic"/>
          <w:sz w:val="20"/>
          <w:szCs w:val="20"/>
        </w:rPr>
        <w:t xml:space="preserve">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Welfare n. 3459 del 14/03/2025 “Assegnazione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II^</w:t>
      </w:r>
      <w:proofErr w:type="gramEnd"/>
      <w:r w:rsidRPr="00936222">
        <w:rPr>
          <w:rFonts w:ascii="Century Gothic" w:hAnsi="Century Gothic"/>
          <w:sz w:val="20"/>
          <w:szCs w:val="20"/>
        </w:rPr>
        <w:t xml:space="preserve">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64C541F8" w14:textId="2C2A3993" w:rsidR="009C768F" w:rsidRDefault="009C768F" w:rsidP="00B75039">
      <w:pPr>
        <w:pStyle w:val="Paragrafoelenco"/>
        <w:numPr>
          <w:ilvl w:val="0"/>
          <w:numId w:val="41"/>
        </w:numPr>
        <w:spacing w:line="240" w:lineRule="auto"/>
        <w:jc w:val="both"/>
        <w:rPr>
          <w:rFonts w:ascii="Century Gothic" w:hAnsi="Century Gothic"/>
          <w:sz w:val="20"/>
          <w:szCs w:val="20"/>
        </w:rPr>
      </w:pPr>
      <w:r w:rsidRPr="002A3C35">
        <w:rPr>
          <w:rFonts w:ascii="Century Gothic" w:hAnsi="Century Gothic"/>
          <w:sz w:val="20"/>
          <w:szCs w:val="20"/>
        </w:rPr>
        <w:t xml:space="preserve">DDG Welfare n. 12558 del 12/09/2025 “Assegnazione, impegno e liquidazione delle risorse economiche alle ATS per il riconoscimento della tariffa di Presa in Carico ai gestori cooperative MMG/PLS per i costi sostenuti nel </w:t>
      </w:r>
      <w:proofErr w:type="gramStart"/>
      <w:r w:rsidRPr="002A3C35">
        <w:rPr>
          <w:rFonts w:ascii="Century Gothic" w:hAnsi="Century Gothic"/>
          <w:sz w:val="20"/>
          <w:szCs w:val="20"/>
        </w:rPr>
        <w:t>I^</w:t>
      </w:r>
      <w:proofErr w:type="gramEnd"/>
      <w:r w:rsidRPr="002A3C35">
        <w:rPr>
          <w:rFonts w:ascii="Century Gothic" w:hAnsi="Century Gothic"/>
          <w:sz w:val="20"/>
          <w:szCs w:val="20"/>
        </w:rPr>
        <w:t xml:space="preserve"> semestre 2025”.</w:t>
      </w:r>
    </w:p>
    <w:p w14:paraId="04DF34A3" w14:textId="77777777" w:rsidR="00B75039" w:rsidRDefault="00B75039" w:rsidP="00B75039">
      <w:pPr>
        <w:pStyle w:val="Paragrafoelenco"/>
        <w:spacing w:line="240" w:lineRule="auto"/>
        <w:jc w:val="both"/>
        <w:rPr>
          <w:rFonts w:ascii="Century Gothic" w:hAnsi="Century Gothic"/>
          <w:sz w:val="20"/>
          <w:szCs w:val="20"/>
        </w:rPr>
      </w:pPr>
    </w:p>
    <w:p w14:paraId="42CD0A15" w14:textId="77777777" w:rsidR="00E032C0" w:rsidRDefault="00E032C0" w:rsidP="00B75039">
      <w:pPr>
        <w:pStyle w:val="Paragrafoelenco"/>
        <w:spacing w:line="240" w:lineRule="auto"/>
        <w:jc w:val="both"/>
        <w:rPr>
          <w:rFonts w:ascii="Century Gothic" w:hAnsi="Century Gothic"/>
          <w:sz w:val="20"/>
          <w:szCs w:val="20"/>
        </w:rPr>
      </w:pPr>
    </w:p>
    <w:p w14:paraId="17E558C1" w14:textId="77777777" w:rsidR="00E032C0" w:rsidRDefault="00E032C0" w:rsidP="00B75039">
      <w:pPr>
        <w:pStyle w:val="Paragrafoelenco"/>
        <w:spacing w:line="240" w:lineRule="auto"/>
        <w:jc w:val="both"/>
        <w:rPr>
          <w:rFonts w:ascii="Century Gothic" w:hAnsi="Century Gothic"/>
          <w:sz w:val="20"/>
          <w:szCs w:val="20"/>
        </w:rPr>
      </w:pPr>
    </w:p>
    <w:p w14:paraId="64030C3B" w14:textId="77777777" w:rsidR="00E032C0" w:rsidRPr="00B75039" w:rsidRDefault="00E032C0" w:rsidP="00B75039">
      <w:pPr>
        <w:pStyle w:val="Paragrafoelenco"/>
        <w:spacing w:line="240" w:lineRule="auto"/>
        <w:jc w:val="both"/>
        <w:rPr>
          <w:rFonts w:ascii="Century Gothic" w:hAnsi="Century Gothic"/>
          <w:sz w:val="20"/>
          <w:szCs w:val="20"/>
        </w:rPr>
      </w:pP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lastRenderedPageBreak/>
        <w:t>AREA FAMIGLIA</w:t>
      </w:r>
    </w:p>
    <w:p w14:paraId="64123E42" w14:textId="77777777" w:rsidR="00070EF8" w:rsidRPr="00CA50D8" w:rsidRDefault="00070EF8" w:rsidP="00673B69">
      <w:pPr>
        <w:pStyle w:val="NormaleWeb"/>
        <w:spacing w:before="0" w:beforeAutospacing="0" w:after="0" w:afterAutospacing="0"/>
        <w:jc w:val="both"/>
        <w:rPr>
          <w:rStyle w:val="Enfasigrassetto"/>
          <w:rFonts w:ascii="Century Gothic" w:hAnsi="Century Gothic" w:cs="Arial"/>
          <w:sz w:val="20"/>
          <w:szCs w:val="20"/>
        </w:rPr>
      </w:pPr>
    </w:p>
    <w:p w14:paraId="2E076EBD" w14:textId="77777777" w:rsidR="00110484" w:rsidRPr="00C30872" w:rsidRDefault="00110484" w:rsidP="00110484">
      <w:pPr>
        <w:pStyle w:val="NormaleWeb"/>
        <w:numPr>
          <w:ilvl w:val="0"/>
          <w:numId w:val="6"/>
        </w:numPr>
        <w:spacing w:before="0" w:beforeAutospacing="0" w:after="0" w:afterAutospacing="0"/>
        <w:ind w:left="927"/>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Genitori Separati e vedovi</w:t>
      </w:r>
    </w:p>
    <w:p w14:paraId="6E301CA7" w14:textId="77777777" w:rsidR="00110484" w:rsidRPr="00CA50D8" w:rsidRDefault="00110484" w:rsidP="00110484">
      <w:pPr>
        <w:pStyle w:val="NormaleWeb"/>
        <w:spacing w:before="0" w:beforeAutospacing="0" w:after="0" w:afterAutospacing="0"/>
        <w:ind w:left="709"/>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lastRenderedPageBreak/>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0B5623">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sz w:val="20"/>
          <w:szCs w:val="20"/>
        </w:rPr>
        <w:t>D.c.r. 21 dicembre 2023 - n. XII/227 Ordine del giorno concernente le misure a sostegno dei genitori separati o divorziati in condizioni di disagio</w:t>
      </w:r>
    </w:p>
    <w:p w14:paraId="2C582732"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Pr="00C30872" w:rsidRDefault="00110484" w:rsidP="00C30872">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023776">
      <w:pPr>
        <w:pStyle w:val="Paragrafoelenco"/>
        <w:spacing w:after="0" w:line="240" w:lineRule="auto"/>
        <w:jc w:val="both"/>
        <w:rPr>
          <w:rFonts w:ascii="Century Gothic" w:hAnsi="Century Gothic" w:cs="Arial"/>
          <w:b/>
          <w:sz w:val="20"/>
          <w:szCs w:val="20"/>
        </w:rPr>
      </w:pPr>
    </w:p>
    <w:p w14:paraId="19EA75DE" w14:textId="30C0EFD3"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2447 2015 “Determinazioni relative all’elenco degli enti del </w:t>
      </w:r>
      <w:proofErr w:type="gramStart"/>
      <w:r w:rsidRPr="00CA50D8">
        <w:rPr>
          <w:rFonts w:ascii="Century Gothic" w:hAnsi="Century Gothic" w:cs="Calibri"/>
          <w:sz w:val="20"/>
          <w:szCs w:val="20"/>
        </w:rPr>
        <w:t>3°</w:t>
      </w:r>
      <w:proofErr w:type="gramEnd"/>
      <w:r w:rsidRPr="00CA50D8">
        <w:rPr>
          <w:rFonts w:ascii="Century Gothic" w:hAnsi="Century Gothic" w:cs="Calibri"/>
          <w:sz w:val="20"/>
          <w:szCs w:val="20"/>
        </w:rPr>
        <w:t xml:space="preserve">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673B69">
      <w:pPr>
        <w:pStyle w:val="Paragrafoelenco"/>
        <w:numPr>
          <w:ilvl w:val="0"/>
          <w:numId w:val="16"/>
        </w:numPr>
        <w:autoSpaceDE w:val="0"/>
        <w:autoSpaceDN w:val="0"/>
        <w:adjustRightInd w:val="0"/>
        <w:spacing w:after="0" w:line="240" w:lineRule="auto"/>
        <w:ind w:left="1134" w:hanging="283"/>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 xml:space="preserve">/2019 “Azioni per la qualità della vita e l’inclusione sociale delle persone sottoposte a terapia oncologica. Nuove </w:t>
      </w:r>
      <w:r w:rsidRPr="00CA50D8">
        <w:rPr>
          <w:rFonts w:ascii="Century Gothic" w:hAnsi="Century Gothic" w:cs="Arial"/>
          <w:sz w:val="20"/>
          <w:szCs w:val="20"/>
        </w:rPr>
        <w:lastRenderedPageBreak/>
        <w:t>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77DB6E2B" w:rsidR="00673B69" w:rsidRDefault="00A7286E" w:rsidP="001961D0">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D.d.u.o.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xml:space="preserve">. n.  1764 del 21 gennaio 2024 «Rifinanziamento della misura “Azioni per la qualità della vita e l’inclusione sociale delle </w:t>
      </w:r>
      <w:r w:rsidRPr="00CA50D8">
        <w:rPr>
          <w:rFonts w:ascii="Century Gothic" w:hAnsi="Century Gothic" w:cs="Arial"/>
          <w:sz w:val="20"/>
          <w:szCs w:val="20"/>
        </w:rPr>
        <w:lastRenderedPageBreak/>
        <w:t>persone sottoposte a terapia oncologica” - Anno 2024». Riparto e assegnazione delle risorse alle ATS e contestuale impegno e liquidazione delle risorse - anno 2024.</w:t>
      </w: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77777777" w:rsidR="00A7286E" w:rsidRPr="00CA50D8"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lastRenderedPageBreak/>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w:t>
      </w:r>
      <w:proofErr w:type="gramStart"/>
      <w:r w:rsidRPr="00CA50D8">
        <w:rPr>
          <w:rFonts w:ascii="Century Gothic" w:hAnsi="Century Gothic" w:cs="Arial"/>
          <w:sz w:val="20"/>
          <w:szCs w:val="20"/>
        </w:rPr>
        <w:t>risorse</w:t>
      </w:r>
      <w:proofErr w:type="gramEnd"/>
      <w:r w:rsidRPr="00CA50D8">
        <w:rPr>
          <w:rFonts w:ascii="Century Gothic" w:hAnsi="Century Gothic" w:cs="Arial"/>
          <w:sz w:val="20"/>
          <w:szCs w:val="20"/>
        </w:rPr>
        <w:t xml:space="preserv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52D8430"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w:t>
      </w:r>
      <w:proofErr w:type="spellStart"/>
      <w:proofErr w:type="gramStart"/>
      <w:r w:rsidRPr="00CA50D8">
        <w:rPr>
          <w:rFonts w:ascii="Century Gothic" w:hAnsi="Century Gothic" w:cs="Arial"/>
          <w:sz w:val="20"/>
          <w:szCs w:val="20"/>
        </w:rPr>
        <w:t>ss.mm.ii</w:t>
      </w:r>
      <w:proofErr w:type="spellEnd"/>
      <w:proofErr w:type="gramEnd"/>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w:t>
      </w:r>
      <w:proofErr w:type="spellStart"/>
      <w:r w:rsidRPr="00C30872">
        <w:rPr>
          <w:rFonts w:ascii="Century Gothic" w:hAnsi="Century Gothic" w:cs="Arial"/>
          <w:sz w:val="20"/>
          <w:szCs w:val="20"/>
        </w:rPr>
        <w:t>ss.mm.ii</w:t>
      </w:r>
      <w:proofErr w:type="spellEnd"/>
      <w:r w:rsidRPr="00C30872">
        <w:rPr>
          <w:rFonts w:ascii="Century Gothic" w:hAnsi="Century Gothic" w:cs="Arial"/>
          <w:sz w:val="20"/>
          <w:szCs w:val="20"/>
        </w:rPr>
        <w:t>.: integrazioni e modifiche agli allegati 1, 2, 3 del Decreto 11765 del 3 agosto 2023”</w:t>
      </w:r>
    </w:p>
    <w:p w14:paraId="2E2291E4" w14:textId="7153DA8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r w:rsidR="005966A0" w:rsidRPr="00C30872">
        <w:rPr>
          <w:rFonts w:ascii="Century Gothic" w:hAnsi="Century Gothic" w:cs="Arial"/>
          <w:sz w:val="20"/>
          <w:szCs w:val="20"/>
        </w:rPr>
        <w:t>Priorità</w:t>
      </w:r>
      <w:r w:rsidRPr="00C30872">
        <w:rPr>
          <w:rFonts w:ascii="Century Gothic" w:hAnsi="Century Gothic" w:cs="Arial"/>
          <w:sz w:val="20"/>
          <w:szCs w:val="20"/>
        </w:rPr>
        <w:t xml:space="preserve"> 3 Inclusione sociale – ESO 4.11 - Azione k.2. PR FSE+ 2021-2027) (D.G.R. n. 7503/2022 e D.G.R. n. 22/2023): integrazione delle risorse”</w:t>
      </w:r>
    </w:p>
    <w:p w14:paraId="427BD022" w14:textId="369C4F2D" w:rsidR="003612B2" w:rsidRPr="00CD46AF" w:rsidRDefault="00110484" w:rsidP="00CD46AF">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lastRenderedPageBreak/>
        <w:t xml:space="preserve">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w:t>
      </w:r>
      <w:proofErr w:type="spellStart"/>
      <w:r w:rsidRPr="00C30872">
        <w:rPr>
          <w:rFonts w:ascii="Century Gothic" w:hAnsi="Century Gothic" w:cs="Arial"/>
          <w:sz w:val="20"/>
          <w:szCs w:val="20"/>
        </w:rPr>
        <w:t>eso</w:t>
      </w:r>
      <w:proofErr w:type="spellEnd"/>
      <w:r w:rsidRPr="00C30872">
        <w:rPr>
          <w:rFonts w:ascii="Century Gothic" w:hAnsi="Century Gothic" w:cs="Arial"/>
          <w:sz w:val="20"/>
          <w:szCs w:val="20"/>
        </w:rPr>
        <w:t xml:space="preserve"> 4.11 - azione k.2. </w:t>
      </w:r>
      <w:proofErr w:type="spellStart"/>
      <w:r w:rsidRPr="00C30872">
        <w:rPr>
          <w:rFonts w:ascii="Century Gothic" w:hAnsi="Century Gothic" w:cs="Arial"/>
          <w:sz w:val="20"/>
          <w:szCs w:val="20"/>
        </w:rPr>
        <w:t>pr</w:t>
      </w:r>
      <w:proofErr w:type="spellEnd"/>
      <w:r w:rsidRPr="00C30872">
        <w:rPr>
          <w:rFonts w:ascii="Century Gothic" w:hAnsi="Century Gothic" w:cs="Arial"/>
          <w:sz w:val="20"/>
          <w:szCs w:val="20"/>
        </w:rPr>
        <w:t xml:space="preserve"> </w:t>
      </w:r>
      <w:proofErr w:type="spellStart"/>
      <w:r w:rsidRPr="00C30872">
        <w:rPr>
          <w:rFonts w:ascii="Century Gothic" w:hAnsi="Century Gothic" w:cs="Arial"/>
          <w:sz w:val="20"/>
          <w:szCs w:val="20"/>
        </w:rPr>
        <w:t>fse</w:t>
      </w:r>
      <w:proofErr w:type="spellEnd"/>
      <w:r w:rsidRPr="00C30872">
        <w:rPr>
          <w:rFonts w:ascii="Century Gothic" w:hAnsi="Century Gothic" w:cs="Arial"/>
          <w:sz w:val="20"/>
          <w:szCs w:val="20"/>
        </w:rPr>
        <w:t>+ 2021-2027)”</w:t>
      </w: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29A5391"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r w:rsidR="005966A0" w:rsidRPr="00C30872">
        <w:rPr>
          <w:rFonts w:ascii="Century Gothic" w:hAnsi="Century Gothic" w:cs="Arial"/>
          <w:sz w:val="20"/>
          <w:szCs w:val="20"/>
        </w:rPr>
        <w:t>Modalità</w:t>
      </w:r>
      <w:r w:rsidRPr="00C30872">
        <w:rPr>
          <w:rFonts w:ascii="Century Gothic" w:hAnsi="Century Gothic" w:cs="Arial"/>
          <w:sz w:val="20"/>
          <w:szCs w:val="20"/>
        </w:rPr>
        <w:t xml:space="preserve"> di accreditamento delle “reti di famiglie affidatarie sostenute da equipe professionale” (DGR n. 2856/2020)”</w:t>
      </w:r>
    </w:p>
    <w:p w14:paraId="68A9E82F" w14:textId="3E646922" w:rsidR="003612B2" w:rsidRPr="00CE5638" w:rsidRDefault="00110484" w:rsidP="00CE5638">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w:t>
      </w:r>
      <w:r w:rsidRPr="00CA50D8">
        <w:rPr>
          <w:rFonts w:ascii="Century Gothic" w:hAnsi="Century Gothic" w:cs="Arial"/>
          <w:sz w:val="20"/>
          <w:szCs w:val="20"/>
        </w:rPr>
        <w:lastRenderedPageBreak/>
        <w:t xml:space="preserve">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w:t>
      </w:r>
      <w:proofErr w:type="gramStart"/>
      <w:r w:rsidRPr="00CA50D8">
        <w:rPr>
          <w:rFonts w:ascii="Century Gothic" w:hAnsi="Century Gothic" w:cs="Arial"/>
          <w:sz w:val="20"/>
          <w:szCs w:val="20"/>
        </w:rPr>
        <w:t>socio-</w:t>
      </w:r>
      <w:r w:rsidR="004772B3" w:rsidRPr="00CA50D8">
        <w:rPr>
          <w:rFonts w:ascii="Century Gothic" w:hAnsi="Century Gothic" w:cs="Arial"/>
          <w:sz w:val="20"/>
          <w:szCs w:val="20"/>
        </w:rPr>
        <w:t>educativi</w:t>
      </w:r>
      <w:proofErr w:type="gramEnd"/>
      <w:r w:rsidR="004772B3" w:rsidRPr="00CA50D8">
        <w:rPr>
          <w:rFonts w:ascii="Century Gothic" w:hAnsi="Century Gothic" w:cs="Arial"/>
          <w:sz w:val="20"/>
          <w:szCs w:val="20"/>
        </w:rPr>
        <w:t xml:space="preserve">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w:t>
      </w:r>
      <w:r w:rsidRPr="00CA50D8">
        <w:rPr>
          <w:rFonts w:ascii="Century Gothic" w:hAnsi="Century Gothic" w:cs="Arial"/>
          <w:sz w:val="20"/>
          <w:szCs w:val="20"/>
        </w:rPr>
        <w:lastRenderedPageBreak/>
        <w:t>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47574F5D" w:rsidR="00D70B60"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 xml:space="preserve">Decreto del Dirigente della Struttura Volontariato e Terzo Settore n. 2366 del 24/02/2025 “Determinazioni in merito all’avviso &lt;&lt;Leva civica lombarda volontaria: giovani generazioni al servizio della collettività lombarda&gt;&gt; di cui al Decreto 1263 del 17 gennaio </w:t>
      </w:r>
      <w:r w:rsidRPr="00CA50D8">
        <w:rPr>
          <w:rFonts w:ascii="Century Gothic" w:hAnsi="Century Gothic" w:cs="Arial"/>
          <w:sz w:val="20"/>
          <w:szCs w:val="20"/>
        </w:rPr>
        <w:lastRenderedPageBreak/>
        <w:t>2024. Approvazione ‘Informativa relativa al trattamento dei dati personali’ ad integrale sostituzione del modello Allegato A7 al Decreto 1263 del 17 gennaio 2024</w:t>
      </w:r>
      <w:r w:rsidR="00C46898">
        <w:rPr>
          <w:rFonts w:ascii="Century Gothic" w:hAnsi="Century Gothic" w:cs="Arial"/>
          <w:sz w:val="20"/>
          <w:szCs w:val="20"/>
        </w:rPr>
        <w:t>;</w:t>
      </w:r>
    </w:p>
    <w:p w14:paraId="55375315" w14:textId="49FB1040" w:rsidR="00C46898" w:rsidRDefault="00C46898"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2A3C35">
        <w:rPr>
          <w:rFonts w:ascii="Century Gothic" w:hAnsi="Century Gothic" w:cs="Arial"/>
          <w:sz w:val="20"/>
          <w:szCs w:val="20"/>
        </w:rPr>
        <w:t>Decreto del Dirigente della Struttura Volontariato e Terzo Settore n. 15166 “Leva civica lombarda volontaria: adeguamento del compenso mensile corrisposto ai volontari ai sensi dell’art. 11, comma 2, della Legge regionale n. 16 del 22 ottobre 2019”</w:t>
      </w:r>
    </w:p>
    <w:p w14:paraId="7C1D44C6" w14:textId="77777777" w:rsidR="00E7689E" w:rsidRPr="005966A0" w:rsidRDefault="00E7689E" w:rsidP="00E7689E">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Decreto 17865 del 04/12/2025 “Approvazione dell’avviso pubblico «Leva civica lombarda volontaria: destinazione futuro. Palestra civica di cittadinanza attiva per il rafforzamento delle competenze e delle professionalità delle giovani generazioni – Manifestazione di interesse per l’adesione all’avviso da parte degli enti di leva civica (PR FSE+ 2021-2027 - Priorita’4 Occupazione giovanile - ESO 4.1 – Azione a.4)» in attuazione della </w:t>
      </w:r>
      <w:proofErr w:type="spellStart"/>
      <w:r w:rsidRPr="005966A0">
        <w:rPr>
          <w:rFonts w:ascii="Century Gothic" w:hAnsi="Century Gothic" w:cs="Arial"/>
          <w:sz w:val="20"/>
          <w:szCs w:val="20"/>
        </w:rPr>
        <w:t>d.g.r</w:t>
      </w:r>
      <w:proofErr w:type="spellEnd"/>
      <w:r w:rsidRPr="005966A0">
        <w:rPr>
          <w:rFonts w:ascii="Century Gothic" w:hAnsi="Century Gothic" w:cs="Arial"/>
          <w:sz w:val="20"/>
          <w:szCs w:val="20"/>
        </w:rPr>
        <w:t>. n. XII/5014 del 22 settembre 2025”.</w:t>
      </w:r>
    </w:p>
    <w:p w14:paraId="62CDE987" w14:textId="77777777" w:rsidR="00766C76" w:rsidRPr="00CD46AF" w:rsidRDefault="00766C76" w:rsidP="00CD46AF">
      <w:pPr>
        <w:autoSpaceDE w:val="0"/>
        <w:autoSpaceDN w:val="0"/>
        <w:adjustRightInd w:val="0"/>
        <w:spacing w:after="0" w:line="240" w:lineRule="auto"/>
        <w:ind w:left="1134"/>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l.r.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33A287B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r w:rsidR="00997572">
        <w:rPr>
          <w:rFonts w:ascii="Century Gothic" w:hAnsi="Century Gothic" w:cs="Arial"/>
          <w:sz w:val="20"/>
          <w:szCs w:val="20"/>
        </w:rPr>
        <w:t>”</w:t>
      </w:r>
    </w:p>
    <w:p w14:paraId="0A1F1AE1" w14:textId="3FD61E4E"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DGR n. 5211 del 17/10/2025 “Rifinanziamento degli interventi a favore del lavoro di assistenza e cura svolto dagli Assistenti familiari di cui alla L.R. 15/2025 e aggiornamento dei criteri e delle modalità di riparto delle risorse”;</w:t>
      </w:r>
    </w:p>
    <w:p w14:paraId="2ABD970B" w14:textId="18F6E2B9"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DDUO n. 15509 del 31/10/2025 “Rifinanziamento degli interventi a favore del lavoro di assistenza e cura svolto dagli Assistenti familiari di cui alla L.R. 15/2025, in attuazione della DGR n. 5211/2025 - modifiche dell'Avviso pubblico, impegno e contestuale liquidazione dell'assegnazione delle risorse alle ATS - anno 2025”;</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 xml:space="preserve">DDUO n. 4953 del 08/04/2025 “DGR. 3509 del 02.12.2024 - Rifinanziamento degli interventi per favorire e promuovere l’invecchiamento attivo, a seguito delle disposizioni introdotte </w:t>
      </w:r>
      <w:r w:rsidRPr="006E29E0">
        <w:rPr>
          <w:rFonts w:ascii="Century Gothic" w:hAnsi="Century Gothic" w:cs="Arial"/>
          <w:sz w:val="20"/>
          <w:szCs w:val="20"/>
        </w:rPr>
        <w:lastRenderedPageBreak/>
        <w:t>dalla L.R. n. 8/2024 di modifica della L.R. N. 18/2015, con riferimento agli orti riabilitativo-terapeutici.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0B67BE5D" w14:textId="640D6677" w:rsidR="00586068" w:rsidRDefault="00586068" w:rsidP="00CD46AF">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11389F3F" w14:textId="77777777" w:rsidR="00CD46AF" w:rsidRPr="00CD46AF" w:rsidRDefault="00CD46AF" w:rsidP="00CD46AF">
      <w:pPr>
        <w:pStyle w:val="Paragrafoelenco"/>
        <w:spacing w:line="240" w:lineRule="auto"/>
        <w:jc w:val="both"/>
        <w:rPr>
          <w:rFonts w:ascii="Century Gothic" w:hAnsi="Century Gothic" w:cs="Arial"/>
          <w:b/>
          <w:sz w:val="20"/>
          <w:szCs w:val="20"/>
        </w:rPr>
      </w:pPr>
    </w:p>
    <w:p w14:paraId="25FEBDCB" w14:textId="77777777" w:rsid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625FC9A7" w14:textId="77777777" w:rsidR="00B75039" w:rsidRDefault="00B75039" w:rsidP="00B75039">
      <w:pPr>
        <w:pStyle w:val="Paragrafoelenco"/>
        <w:spacing w:line="240" w:lineRule="auto"/>
        <w:ind w:left="1134"/>
        <w:jc w:val="both"/>
        <w:rPr>
          <w:rFonts w:ascii="Century Gothic" w:hAnsi="Century Gothic" w:cs="Arial"/>
          <w:sz w:val="20"/>
          <w:szCs w:val="20"/>
        </w:rPr>
      </w:pPr>
    </w:p>
    <w:p w14:paraId="4F71C52F" w14:textId="77777777" w:rsidR="00B75039" w:rsidRPr="005966A0" w:rsidRDefault="00B75039" w:rsidP="00B75039">
      <w:pPr>
        <w:pStyle w:val="Paragrafoelenco"/>
        <w:numPr>
          <w:ilvl w:val="0"/>
          <w:numId w:val="7"/>
        </w:numPr>
        <w:spacing w:line="240" w:lineRule="auto"/>
        <w:jc w:val="both"/>
        <w:rPr>
          <w:rFonts w:ascii="Century Gothic" w:hAnsi="Century Gothic" w:cs="Arial"/>
          <w:b/>
          <w:sz w:val="20"/>
          <w:szCs w:val="20"/>
        </w:rPr>
      </w:pPr>
      <w:r w:rsidRPr="005966A0">
        <w:rPr>
          <w:rFonts w:ascii="Century Gothic" w:hAnsi="Century Gothic" w:cs="Arial"/>
          <w:b/>
          <w:sz w:val="20"/>
          <w:szCs w:val="20"/>
        </w:rPr>
        <w:t>Attuazione dell’obiettivo di investimento previsto dal PNRR alla Missione 6 Componente 1 - Sub-investimento M6C1 1.2.1: "Casa come primo luogo di cura (ADI)”</w:t>
      </w:r>
    </w:p>
    <w:p w14:paraId="5AA67B3B" w14:textId="77777777" w:rsidR="00B75039" w:rsidRPr="005966A0" w:rsidRDefault="00B75039" w:rsidP="00B75039">
      <w:pPr>
        <w:pStyle w:val="Paragrafoelenco"/>
        <w:spacing w:line="240" w:lineRule="auto"/>
        <w:ind w:left="426"/>
        <w:jc w:val="both"/>
        <w:rPr>
          <w:rFonts w:ascii="Century Gothic" w:hAnsi="Century Gothic" w:cs="Arial"/>
          <w:sz w:val="20"/>
          <w:szCs w:val="20"/>
        </w:rPr>
      </w:pPr>
    </w:p>
    <w:p w14:paraId="4D9CC2BF" w14:textId="32A99B41" w:rsidR="00586068" w:rsidRDefault="00B75039" w:rsidP="00CE5638">
      <w:pPr>
        <w:pStyle w:val="Paragrafoelenco"/>
        <w:numPr>
          <w:ilvl w:val="0"/>
          <w:numId w:val="28"/>
        </w:numPr>
        <w:spacing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DGR n. 4891 del 01/08/2025 ”Determinazioni in merito alla continuità degli interventi previsti dalla DGR 717/2023 “Determinazioni in ordine alla regolamentazione delle azioni definite a livello regionale per il concorso all'attuazione dell'obiettivo di investimento previsto dal </w:t>
      </w:r>
      <w:bookmarkStart w:id="1" w:name="_Hlk216271679"/>
      <w:r w:rsidRPr="005966A0">
        <w:rPr>
          <w:rFonts w:ascii="Century Gothic" w:hAnsi="Century Gothic" w:cs="Arial"/>
          <w:sz w:val="20"/>
          <w:szCs w:val="20"/>
        </w:rPr>
        <w:t xml:space="preserve">PNRR alla Missione 6 Componente 1 - Sub-investimento M6C1 1.2.1: "Casa come primo luogo di Cura (ADI)" </w:t>
      </w:r>
      <w:bookmarkEnd w:id="1"/>
      <w:r w:rsidRPr="005966A0">
        <w:rPr>
          <w:rFonts w:ascii="Century Gothic" w:hAnsi="Century Gothic" w:cs="Arial"/>
          <w:sz w:val="20"/>
          <w:szCs w:val="20"/>
        </w:rPr>
        <w:t>attraverso l’erogazione diretta di cure domiciliari nell’ambito delle CDC delle ASST e attraverso il progetto di sorveglianza domiciliare attivato nell'ambito del modello organizzativo individuato in allineamento al DM 77 e fondato sul raccordo tra CDC, attraverso IFEC e UCA e gli ambulatori dei MMG operanti, anche attraverso il Proprio personale di studio”</w:t>
      </w:r>
    </w:p>
    <w:p w14:paraId="704B4254" w14:textId="34FB96E9" w:rsidR="00620987" w:rsidRPr="00620987" w:rsidRDefault="00620987" w:rsidP="00620987">
      <w:pPr>
        <w:pStyle w:val="Paragrafoelenco"/>
        <w:numPr>
          <w:ilvl w:val="0"/>
          <w:numId w:val="28"/>
        </w:numPr>
        <w:spacing w:line="240" w:lineRule="auto"/>
        <w:ind w:left="1134" w:hanging="708"/>
        <w:jc w:val="both"/>
        <w:rPr>
          <w:rFonts w:ascii="Century Gothic" w:hAnsi="Century Gothic" w:cs="Arial"/>
          <w:sz w:val="20"/>
          <w:szCs w:val="20"/>
        </w:rPr>
      </w:pPr>
      <w:r w:rsidRPr="00620987">
        <w:rPr>
          <w:rFonts w:ascii="Century Gothic" w:hAnsi="Century Gothic" w:cs="Arial"/>
          <w:sz w:val="20"/>
          <w:szCs w:val="20"/>
        </w:rPr>
        <w:t>DGR n. 5606 del 30/12/</w:t>
      </w:r>
      <w:r w:rsidR="003D559F" w:rsidRPr="00620987">
        <w:rPr>
          <w:rFonts w:ascii="Century Gothic" w:hAnsi="Century Gothic" w:cs="Arial"/>
          <w:sz w:val="20"/>
          <w:szCs w:val="20"/>
        </w:rPr>
        <w:t>2025” Determinazioni</w:t>
      </w:r>
      <w:r w:rsidRPr="00620987">
        <w:rPr>
          <w:rFonts w:ascii="Century Gothic" w:hAnsi="Century Gothic" w:cs="Arial"/>
          <w:sz w:val="20"/>
          <w:szCs w:val="20"/>
        </w:rPr>
        <w:t xml:space="preserve"> in ordine alla rimodulazione dei budget 2025 nell’ambito delle Unità di offerta sociosanitarie compresa l’area della Salute Mentale e criteri per il mantenimento dell’offerta delle cure domiciliari”</w:t>
      </w: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23F1D642" w:rsidR="00292AF3" w:rsidRPr="00CA50D8"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w:t>
      </w:r>
      <w:r w:rsidRPr="00CA50D8">
        <w:rPr>
          <w:rFonts w:ascii="Century Gothic" w:hAnsi="Century Gothic" w:cs="Arial"/>
          <w:sz w:val="20"/>
          <w:szCs w:val="20"/>
        </w:rPr>
        <w:lastRenderedPageBreak/>
        <w:t xml:space="preserve">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w:t>
      </w:r>
      <w:r w:rsidRPr="00F1110A">
        <w:rPr>
          <w:rFonts w:ascii="Century Gothic" w:hAnsi="Century Gothic" w:cs="Arial"/>
          <w:sz w:val="20"/>
          <w:szCs w:val="20"/>
        </w:rPr>
        <w:lastRenderedPageBreak/>
        <w:t>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2439 del 06/06/2024 “Attuazione DD.GG.RR. </w:t>
      </w:r>
      <w:proofErr w:type="spellStart"/>
      <w:r w:rsidRPr="00F1110A">
        <w:rPr>
          <w:rFonts w:ascii="Century Gothic" w:hAnsi="Century Gothic" w:cs="Arial"/>
          <w:sz w:val="20"/>
          <w:szCs w:val="20"/>
        </w:rPr>
        <w:t>nn</w:t>
      </w:r>
      <w:proofErr w:type="spellEnd"/>
      <w:r w:rsidRPr="00F1110A">
        <w:rPr>
          <w:rFonts w:ascii="Century Gothic" w:hAnsi="Century Gothic" w:cs="Arial"/>
          <w:sz w:val="20"/>
          <w:szCs w:val="20"/>
        </w:rPr>
        <w:t>.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30B4" w14:textId="77777777" w:rsidR="00FF1612" w:rsidRDefault="00FF1612" w:rsidP="00B139D7">
      <w:pPr>
        <w:spacing w:after="0" w:line="240" w:lineRule="auto"/>
      </w:pPr>
      <w:r>
        <w:separator/>
      </w:r>
    </w:p>
  </w:endnote>
  <w:endnote w:type="continuationSeparator" w:id="0">
    <w:p w14:paraId="3545AF20" w14:textId="77777777" w:rsidR="00FF1612" w:rsidRDefault="00FF1612"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D0A3" w14:textId="77777777" w:rsidR="00FF1612" w:rsidRDefault="00FF1612" w:rsidP="00B139D7">
      <w:pPr>
        <w:spacing w:after="0" w:line="240" w:lineRule="auto"/>
      </w:pPr>
      <w:r>
        <w:separator/>
      </w:r>
    </w:p>
  </w:footnote>
  <w:footnote w:type="continuationSeparator" w:id="0">
    <w:p w14:paraId="0BF8E499" w14:textId="77777777" w:rsidR="00FF1612" w:rsidRDefault="00FF1612"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5282"/>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56EA"/>
    <w:rsid w:val="00121D9B"/>
    <w:rsid w:val="0012465F"/>
    <w:rsid w:val="0012575F"/>
    <w:rsid w:val="00126280"/>
    <w:rsid w:val="00130352"/>
    <w:rsid w:val="00136AB8"/>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4BFA"/>
    <w:rsid w:val="001802DB"/>
    <w:rsid w:val="0018782E"/>
    <w:rsid w:val="00187FE9"/>
    <w:rsid w:val="00193DD1"/>
    <w:rsid w:val="00195B22"/>
    <w:rsid w:val="00196121"/>
    <w:rsid w:val="001961D0"/>
    <w:rsid w:val="0019629A"/>
    <w:rsid w:val="001A23F7"/>
    <w:rsid w:val="001A727C"/>
    <w:rsid w:val="001A7CC5"/>
    <w:rsid w:val="001B11B9"/>
    <w:rsid w:val="001B3316"/>
    <w:rsid w:val="001B39AA"/>
    <w:rsid w:val="001C1040"/>
    <w:rsid w:val="001C4A4F"/>
    <w:rsid w:val="001C6524"/>
    <w:rsid w:val="001D4D98"/>
    <w:rsid w:val="001D4E1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5E1E"/>
    <w:rsid w:val="0026674D"/>
    <w:rsid w:val="002669C7"/>
    <w:rsid w:val="00272EF2"/>
    <w:rsid w:val="0027564E"/>
    <w:rsid w:val="00282775"/>
    <w:rsid w:val="00285278"/>
    <w:rsid w:val="002868C4"/>
    <w:rsid w:val="002873B0"/>
    <w:rsid w:val="002878B2"/>
    <w:rsid w:val="00292AF3"/>
    <w:rsid w:val="00296391"/>
    <w:rsid w:val="002A2620"/>
    <w:rsid w:val="002A2A84"/>
    <w:rsid w:val="002A3C35"/>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0FE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D41D2"/>
    <w:rsid w:val="003D559F"/>
    <w:rsid w:val="003E032E"/>
    <w:rsid w:val="003E0CCF"/>
    <w:rsid w:val="003E269F"/>
    <w:rsid w:val="003E666F"/>
    <w:rsid w:val="003F1FDE"/>
    <w:rsid w:val="003F60D2"/>
    <w:rsid w:val="00400EC2"/>
    <w:rsid w:val="0040186B"/>
    <w:rsid w:val="00401AB4"/>
    <w:rsid w:val="0040372B"/>
    <w:rsid w:val="004050EE"/>
    <w:rsid w:val="00411AAD"/>
    <w:rsid w:val="00415BF4"/>
    <w:rsid w:val="00415F71"/>
    <w:rsid w:val="00424110"/>
    <w:rsid w:val="00426F2B"/>
    <w:rsid w:val="00430866"/>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591"/>
    <w:rsid w:val="004A3384"/>
    <w:rsid w:val="004A35BA"/>
    <w:rsid w:val="004A3C5F"/>
    <w:rsid w:val="004A4857"/>
    <w:rsid w:val="004B3DFE"/>
    <w:rsid w:val="004B5B0D"/>
    <w:rsid w:val="004C19DF"/>
    <w:rsid w:val="004C6981"/>
    <w:rsid w:val="004D03CA"/>
    <w:rsid w:val="004D1D90"/>
    <w:rsid w:val="004D704B"/>
    <w:rsid w:val="004D7B1B"/>
    <w:rsid w:val="004E004C"/>
    <w:rsid w:val="004E13D6"/>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7492D"/>
    <w:rsid w:val="00574F96"/>
    <w:rsid w:val="005838D1"/>
    <w:rsid w:val="00585071"/>
    <w:rsid w:val="005858FB"/>
    <w:rsid w:val="00586068"/>
    <w:rsid w:val="00586B7F"/>
    <w:rsid w:val="00587BB7"/>
    <w:rsid w:val="0059036A"/>
    <w:rsid w:val="00594844"/>
    <w:rsid w:val="005966A0"/>
    <w:rsid w:val="0059698D"/>
    <w:rsid w:val="005A30E7"/>
    <w:rsid w:val="005B2E67"/>
    <w:rsid w:val="005B4936"/>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20987"/>
    <w:rsid w:val="00623EB6"/>
    <w:rsid w:val="00626193"/>
    <w:rsid w:val="0063007B"/>
    <w:rsid w:val="006303EE"/>
    <w:rsid w:val="00631133"/>
    <w:rsid w:val="00635106"/>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22C"/>
    <w:rsid w:val="0067685B"/>
    <w:rsid w:val="00683A06"/>
    <w:rsid w:val="00685E0B"/>
    <w:rsid w:val="00685F9E"/>
    <w:rsid w:val="006940D9"/>
    <w:rsid w:val="00694545"/>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E3D05"/>
    <w:rsid w:val="006E615E"/>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03C4"/>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53F9"/>
    <w:rsid w:val="00800349"/>
    <w:rsid w:val="00807EA4"/>
    <w:rsid w:val="00815BB1"/>
    <w:rsid w:val="00816956"/>
    <w:rsid w:val="008171A6"/>
    <w:rsid w:val="00817931"/>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0AB4"/>
    <w:rsid w:val="008813C1"/>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97572"/>
    <w:rsid w:val="009A0DF1"/>
    <w:rsid w:val="009A5BCF"/>
    <w:rsid w:val="009A6AB1"/>
    <w:rsid w:val="009B1808"/>
    <w:rsid w:val="009B3215"/>
    <w:rsid w:val="009C2E07"/>
    <w:rsid w:val="009C39E2"/>
    <w:rsid w:val="009C768F"/>
    <w:rsid w:val="009C7D93"/>
    <w:rsid w:val="009D2E7A"/>
    <w:rsid w:val="009D348B"/>
    <w:rsid w:val="009D353D"/>
    <w:rsid w:val="009D3B72"/>
    <w:rsid w:val="009D6D2D"/>
    <w:rsid w:val="009D765B"/>
    <w:rsid w:val="009E07FD"/>
    <w:rsid w:val="009E3AC3"/>
    <w:rsid w:val="009E413E"/>
    <w:rsid w:val="009E60F4"/>
    <w:rsid w:val="009E7A2D"/>
    <w:rsid w:val="009F09B8"/>
    <w:rsid w:val="009F43D6"/>
    <w:rsid w:val="009F7C51"/>
    <w:rsid w:val="00A005E6"/>
    <w:rsid w:val="00A01A55"/>
    <w:rsid w:val="00A060C5"/>
    <w:rsid w:val="00A07213"/>
    <w:rsid w:val="00A108ED"/>
    <w:rsid w:val="00A113DC"/>
    <w:rsid w:val="00A11D9D"/>
    <w:rsid w:val="00A14646"/>
    <w:rsid w:val="00A17202"/>
    <w:rsid w:val="00A2271F"/>
    <w:rsid w:val="00A22BBC"/>
    <w:rsid w:val="00A2665F"/>
    <w:rsid w:val="00A26926"/>
    <w:rsid w:val="00A31D06"/>
    <w:rsid w:val="00A33C65"/>
    <w:rsid w:val="00A34093"/>
    <w:rsid w:val="00A3656F"/>
    <w:rsid w:val="00A37330"/>
    <w:rsid w:val="00A37E46"/>
    <w:rsid w:val="00A37F97"/>
    <w:rsid w:val="00A54B04"/>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0B48"/>
    <w:rsid w:val="00A83745"/>
    <w:rsid w:val="00A837E8"/>
    <w:rsid w:val="00A87234"/>
    <w:rsid w:val="00A95955"/>
    <w:rsid w:val="00AA0333"/>
    <w:rsid w:val="00AA3BB9"/>
    <w:rsid w:val="00AA71A1"/>
    <w:rsid w:val="00AA76B1"/>
    <w:rsid w:val="00AB6CA6"/>
    <w:rsid w:val="00AC265C"/>
    <w:rsid w:val="00AC29CA"/>
    <w:rsid w:val="00AD0328"/>
    <w:rsid w:val="00AD0B0B"/>
    <w:rsid w:val="00AD3C6F"/>
    <w:rsid w:val="00AE11B1"/>
    <w:rsid w:val="00AE12C2"/>
    <w:rsid w:val="00AE25AE"/>
    <w:rsid w:val="00AE25B4"/>
    <w:rsid w:val="00AE30C0"/>
    <w:rsid w:val="00AE722B"/>
    <w:rsid w:val="00AF75BE"/>
    <w:rsid w:val="00B015C8"/>
    <w:rsid w:val="00B019C0"/>
    <w:rsid w:val="00B01C26"/>
    <w:rsid w:val="00B07150"/>
    <w:rsid w:val="00B1059C"/>
    <w:rsid w:val="00B10C4C"/>
    <w:rsid w:val="00B138D9"/>
    <w:rsid w:val="00B139D7"/>
    <w:rsid w:val="00B14D55"/>
    <w:rsid w:val="00B152E2"/>
    <w:rsid w:val="00B16060"/>
    <w:rsid w:val="00B2353D"/>
    <w:rsid w:val="00B23BD5"/>
    <w:rsid w:val="00B253EF"/>
    <w:rsid w:val="00B3058C"/>
    <w:rsid w:val="00B37231"/>
    <w:rsid w:val="00B40A14"/>
    <w:rsid w:val="00B42286"/>
    <w:rsid w:val="00B426EB"/>
    <w:rsid w:val="00B4284F"/>
    <w:rsid w:val="00B45D12"/>
    <w:rsid w:val="00B50890"/>
    <w:rsid w:val="00B51B10"/>
    <w:rsid w:val="00B51D0A"/>
    <w:rsid w:val="00B5408A"/>
    <w:rsid w:val="00B614A7"/>
    <w:rsid w:val="00B6267C"/>
    <w:rsid w:val="00B626BA"/>
    <w:rsid w:val="00B629EF"/>
    <w:rsid w:val="00B63FB3"/>
    <w:rsid w:val="00B6795D"/>
    <w:rsid w:val="00B7277D"/>
    <w:rsid w:val="00B74EF9"/>
    <w:rsid w:val="00B75039"/>
    <w:rsid w:val="00B81C06"/>
    <w:rsid w:val="00B82643"/>
    <w:rsid w:val="00B84558"/>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69FD"/>
    <w:rsid w:val="00BD0887"/>
    <w:rsid w:val="00BD0E6C"/>
    <w:rsid w:val="00BD1CB4"/>
    <w:rsid w:val="00BD2E07"/>
    <w:rsid w:val="00BD5CA9"/>
    <w:rsid w:val="00BD6985"/>
    <w:rsid w:val="00BD762F"/>
    <w:rsid w:val="00BE52CD"/>
    <w:rsid w:val="00BF3149"/>
    <w:rsid w:val="00BF3434"/>
    <w:rsid w:val="00BF6C0C"/>
    <w:rsid w:val="00C01B09"/>
    <w:rsid w:val="00C1430B"/>
    <w:rsid w:val="00C15C34"/>
    <w:rsid w:val="00C22961"/>
    <w:rsid w:val="00C30872"/>
    <w:rsid w:val="00C343A5"/>
    <w:rsid w:val="00C34F9E"/>
    <w:rsid w:val="00C35597"/>
    <w:rsid w:val="00C36276"/>
    <w:rsid w:val="00C36C7C"/>
    <w:rsid w:val="00C37453"/>
    <w:rsid w:val="00C46898"/>
    <w:rsid w:val="00C53272"/>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A616D"/>
    <w:rsid w:val="00CB07E7"/>
    <w:rsid w:val="00CB15FE"/>
    <w:rsid w:val="00CB1A30"/>
    <w:rsid w:val="00CB3F59"/>
    <w:rsid w:val="00CB7357"/>
    <w:rsid w:val="00CC09D4"/>
    <w:rsid w:val="00CC1CF0"/>
    <w:rsid w:val="00CC56D8"/>
    <w:rsid w:val="00CD1134"/>
    <w:rsid w:val="00CD44EE"/>
    <w:rsid w:val="00CD46AF"/>
    <w:rsid w:val="00CE5638"/>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20B5"/>
    <w:rsid w:val="00D376FB"/>
    <w:rsid w:val="00D378D5"/>
    <w:rsid w:val="00D4278C"/>
    <w:rsid w:val="00D43267"/>
    <w:rsid w:val="00D44D96"/>
    <w:rsid w:val="00D4590E"/>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032C0"/>
    <w:rsid w:val="00E12145"/>
    <w:rsid w:val="00E15F74"/>
    <w:rsid w:val="00E17774"/>
    <w:rsid w:val="00E23F22"/>
    <w:rsid w:val="00E27A1B"/>
    <w:rsid w:val="00E37A92"/>
    <w:rsid w:val="00E41C4B"/>
    <w:rsid w:val="00E50E32"/>
    <w:rsid w:val="00E5256B"/>
    <w:rsid w:val="00E616BF"/>
    <w:rsid w:val="00E62DE7"/>
    <w:rsid w:val="00E66E12"/>
    <w:rsid w:val="00E761CB"/>
    <w:rsid w:val="00E7689E"/>
    <w:rsid w:val="00E82B9C"/>
    <w:rsid w:val="00E82E24"/>
    <w:rsid w:val="00E84834"/>
    <w:rsid w:val="00E8557A"/>
    <w:rsid w:val="00E90836"/>
    <w:rsid w:val="00E95C26"/>
    <w:rsid w:val="00E97C99"/>
    <w:rsid w:val="00EA27A2"/>
    <w:rsid w:val="00EA30D4"/>
    <w:rsid w:val="00EA3B2B"/>
    <w:rsid w:val="00EA4750"/>
    <w:rsid w:val="00EB1392"/>
    <w:rsid w:val="00EB7BC2"/>
    <w:rsid w:val="00EC17B8"/>
    <w:rsid w:val="00EC4E41"/>
    <w:rsid w:val="00EC5FC1"/>
    <w:rsid w:val="00EE177B"/>
    <w:rsid w:val="00EE2B5A"/>
    <w:rsid w:val="00EE3B3A"/>
    <w:rsid w:val="00EE40D7"/>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1644"/>
    <w:rsid w:val="00F424A2"/>
    <w:rsid w:val="00F515B8"/>
    <w:rsid w:val="00F63B7F"/>
    <w:rsid w:val="00F65188"/>
    <w:rsid w:val="00F71743"/>
    <w:rsid w:val="00F71A55"/>
    <w:rsid w:val="00F7402B"/>
    <w:rsid w:val="00F75635"/>
    <w:rsid w:val="00F77E85"/>
    <w:rsid w:val="00F805AE"/>
    <w:rsid w:val="00F83138"/>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791C"/>
    <w:rsid w:val="00FF1612"/>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4.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16810</Words>
  <Characters>95819</Characters>
  <Application>Microsoft Office Word</Application>
  <DocSecurity>0</DocSecurity>
  <Lines>798</Lines>
  <Paragraphs>224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Mega Erika</cp:lastModifiedBy>
  <cp:revision>24</cp:revision>
  <cp:lastPrinted>2024-06-07T09:49:00Z</cp:lastPrinted>
  <dcterms:created xsi:type="dcterms:W3CDTF">2025-11-10T09:09:00Z</dcterms:created>
  <dcterms:modified xsi:type="dcterms:W3CDTF">2026-02-25T15:22:00Z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