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center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Dichiarazione sostitutiva di certificazione</w:t>
      </w:r>
    </w:p>
    <w:p>
      <w:pPr>
        <w:pStyle w:val="Normal.0"/>
        <w:spacing w:after="0" w:line="240" w:lineRule="auto"/>
        <w:jc w:val="center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e Dichiarazione sostitutiva dell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atto di notoriet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resa ai sensi degli artt. 46 e 47 del D.P.R.</w:t>
      </w:r>
    </w:p>
    <w:p>
      <w:pPr>
        <w:pStyle w:val="Normal.0"/>
        <w:spacing w:after="0" w:line="240" w:lineRule="auto"/>
        <w:jc w:val="center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28.12.2000, n. 445</w:t>
      </w:r>
    </w:p>
    <w:p>
      <w:pPr>
        <w:pStyle w:val="Normal.0"/>
        <w:spacing w:after="0" w:line="240" w:lineRule="auto"/>
        <w:jc w:val="center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(riguardante stati, qualit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it-IT"/>
        </w:rPr>
        <w:t>personali o fatti comprovati con la sola dichiarazione)</w:t>
      </w:r>
    </w:p>
    <w:p>
      <w:pPr>
        <w:pStyle w:val="Normal.0"/>
        <w:spacing w:after="0" w:line="240" w:lineRule="auto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Il sottoscritto _____________________________ nato a ______________ il 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Consapevole delle sanzioni penali in caso di dichiarazioni non veritiere, di formazione o uso di atti falsi e della conseguente decadenza dai benefici di cui agli artt. 75 e 76 del D.P.R. n. 445/2000, dichiara quanto segue: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__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__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__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__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Il Dichiarante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Data___________________ Firma ________________________________</w:t>
      </w:r>
    </w:p>
    <w:p>
      <w:pPr>
        <w:pStyle w:val="Normal.0"/>
        <w:spacing w:after="0" w:line="24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Times" w:hAnsi="Times"/>
          <w:sz w:val="24"/>
          <w:szCs w:val="24"/>
          <w:rtl w:val="0"/>
          <w:lang w:val="it-IT"/>
        </w:rPr>
        <w:t>Ai sensi dell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art. 38 del D.P.R. del 28.12.2000 n.445 la dichiarazione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sottoscritta dall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interessato in presenza del dipendente addetto ovvero sottoscritta, presentata o inviata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ufficio competente, unitamente a copia fotostatica non autenticata di un documento di identit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del sottoscrittore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